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4C" w:rsidRDefault="003B354C" w:rsidP="003B354C">
      <w:pPr>
        <w:spacing w:before="100" w:beforeAutospacing="1" w:after="100" w:afterAutospacing="1" w:line="240" w:lineRule="auto"/>
        <w:rPr>
          <w:rFonts w:ascii="StobiSerif Regular" w:eastAsia="Times New Roman" w:hAnsi="StobiSerif Regular"/>
          <w:b/>
          <w:lang w:val="mk-MK"/>
        </w:rPr>
      </w:pPr>
      <w:r w:rsidRPr="003B354C">
        <w:rPr>
          <w:rFonts w:ascii="StobiSerif Regular" w:eastAsia="Times New Roman" w:hAnsi="StobiSerif Regular"/>
          <w:b/>
          <w:lang w:val="mk-MK"/>
        </w:rPr>
        <w:t>Член 21</w:t>
      </w:r>
    </w:p>
    <w:p w:rsidR="003B354C" w:rsidRPr="00420166" w:rsidRDefault="003B354C" w:rsidP="003B354C">
      <w:pPr>
        <w:spacing w:before="100" w:beforeAutospacing="1" w:after="100" w:afterAutospacing="1" w:line="240" w:lineRule="auto"/>
        <w:outlineLvl w:val="3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Дејност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на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единиците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на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универзитетот</w:t>
      </w:r>
      <w:proofErr w:type="spellEnd"/>
    </w:p>
    <w:p w:rsidR="003B354C" w:rsidRPr="003B354C" w:rsidRDefault="003B354C" w:rsidP="003B354C">
      <w:pPr>
        <w:spacing w:before="100" w:beforeAutospacing="1" w:after="100" w:afterAutospacing="1" w:line="240" w:lineRule="auto"/>
        <w:rPr>
          <w:rFonts w:ascii="StobiSerif Regular" w:eastAsia="Times New Roman" w:hAnsi="StobiSerif Regular"/>
          <w:b/>
          <w:lang w:val="mk-MK"/>
        </w:rPr>
      </w:pPr>
    </w:p>
    <w:p w:rsidR="003B354C" w:rsidRDefault="003B354C" w:rsidP="003B354C">
      <w:pPr>
        <w:spacing w:before="100" w:beforeAutospacing="1" w:after="100" w:afterAutospacing="1" w:line="240" w:lineRule="auto"/>
        <w:rPr>
          <w:rFonts w:ascii="StobiSerif Regular" w:eastAsia="Times New Roman" w:hAnsi="StobiSerif Regular"/>
        </w:rPr>
      </w:pPr>
      <w:r w:rsidRPr="00420166">
        <w:rPr>
          <w:rFonts w:ascii="StobiSerif Regular" w:eastAsia="Times New Roman" w:hAnsi="StobiSerif Regular"/>
        </w:rPr>
        <w:t xml:space="preserve">(3) </w:t>
      </w:r>
      <w:proofErr w:type="spellStart"/>
      <w:r w:rsidRPr="00420166">
        <w:rPr>
          <w:rFonts w:ascii="StobiSerif Regular" w:eastAsia="Times New Roman" w:hAnsi="StobiSerif Regular"/>
        </w:rPr>
        <w:t>Единиците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универзитетот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имаат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страница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задолжително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објавуваат</w:t>
      </w:r>
      <w:proofErr w:type="spellEnd"/>
      <w:r w:rsidRPr="00420166">
        <w:rPr>
          <w:rFonts w:ascii="StobiSerif Regular" w:eastAsia="Times New Roman" w:hAnsi="StobiSerif Regular"/>
        </w:rPr>
        <w:t>:</w:t>
      </w:r>
      <w:bookmarkStart w:id="0" w:name="_GoBack"/>
      <w:bookmarkEnd w:id="0"/>
    </w:p>
    <w:p w:rsidR="003B354C" w:rsidRPr="00420166" w:rsidRDefault="003B354C" w:rsidP="003B354C">
      <w:pPr>
        <w:spacing w:before="100" w:beforeAutospacing="1" w:after="100" w:afterAutospacing="1" w:line="240" w:lineRule="auto"/>
        <w:rPr>
          <w:rFonts w:ascii="StobiSerif Regular" w:eastAsia="Times New Roman" w:hAnsi="StobiSerif Regular"/>
        </w:rPr>
      </w:pPr>
      <w:r w:rsidRPr="00420166">
        <w:rPr>
          <w:rFonts w:ascii="StobiSerif Regular" w:eastAsia="Times New Roman" w:hAnsi="StobiSerif Regular"/>
        </w:rPr>
        <w:t xml:space="preserve">1. </w:t>
      </w:r>
      <w:proofErr w:type="spellStart"/>
      <w:r w:rsidRPr="00420166">
        <w:rPr>
          <w:rFonts w:ascii="StobiSerif Regular" w:eastAsia="Times New Roman" w:hAnsi="StobiSerif Regular"/>
        </w:rPr>
        <w:t>Статутот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единицата</w:t>
      </w:r>
      <w:proofErr w:type="spellEnd"/>
      <w:r w:rsidRPr="00420166">
        <w:rPr>
          <w:rFonts w:ascii="StobiSerif Regular" w:eastAsia="Times New Roman" w:hAnsi="StobiSerif Regular"/>
        </w:rPr>
        <w:t xml:space="preserve"> (</w:t>
      </w:r>
      <w:proofErr w:type="spellStart"/>
      <w:r w:rsidRPr="00420166">
        <w:rPr>
          <w:rFonts w:ascii="StobiSerif Regular" w:eastAsia="Times New Roman" w:hAnsi="StobiSerif Regular"/>
        </w:rPr>
        <w:t>со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сите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измени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дополнувања</w:t>
      </w:r>
      <w:proofErr w:type="spellEnd"/>
      <w:r w:rsidRPr="00420166">
        <w:rPr>
          <w:rFonts w:ascii="StobiSerif Regular" w:eastAsia="Times New Roman" w:hAnsi="StobiSerif Regular"/>
        </w:rPr>
        <w:t xml:space="preserve">) и </w:t>
      </w:r>
      <w:proofErr w:type="spellStart"/>
      <w:r w:rsidRPr="00420166">
        <w:rPr>
          <w:rFonts w:ascii="StobiSerif Regular" w:eastAsia="Times New Roman" w:hAnsi="StobiSerif Regular"/>
        </w:rPr>
        <w:t>другите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акти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уредуваат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внатрешните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односи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2. </w:t>
      </w:r>
      <w:proofErr w:type="spellStart"/>
      <w:r w:rsidRPr="00420166">
        <w:rPr>
          <w:rFonts w:ascii="StobiSerif Regular" w:eastAsia="Times New Roman" w:hAnsi="StobiSerif Regular"/>
        </w:rPr>
        <w:t>Решението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акредитација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секоја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студиска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програма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одделно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решение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почеток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работа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секоја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студиска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програма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одделно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3. </w:t>
      </w:r>
      <w:proofErr w:type="spellStart"/>
      <w:r w:rsidRPr="00420166">
        <w:rPr>
          <w:rFonts w:ascii="StobiSerif Regular" w:eastAsia="Times New Roman" w:hAnsi="StobiSerif Regular"/>
        </w:rPr>
        <w:t>Актот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систематизација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4. </w:t>
      </w:r>
      <w:proofErr w:type="spellStart"/>
      <w:r w:rsidRPr="00420166">
        <w:rPr>
          <w:rFonts w:ascii="StobiSerif Regular" w:eastAsia="Times New Roman" w:hAnsi="StobiSerif Regular"/>
        </w:rPr>
        <w:t>Деловникот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работа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наставно-научниот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односно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научниот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совет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5. </w:t>
      </w:r>
      <w:proofErr w:type="spellStart"/>
      <w:r w:rsidRPr="00420166">
        <w:rPr>
          <w:rFonts w:ascii="StobiSerif Regular" w:eastAsia="Times New Roman" w:hAnsi="StobiSerif Regular"/>
        </w:rPr>
        <w:t>Правилникот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плати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надоместоци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единицата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6. </w:t>
      </w:r>
      <w:proofErr w:type="spellStart"/>
      <w:r w:rsidRPr="00420166">
        <w:rPr>
          <w:rFonts w:ascii="StobiSerif Regular" w:eastAsia="Times New Roman" w:hAnsi="StobiSerif Regular"/>
        </w:rPr>
        <w:t>Извештај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одлука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последен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избор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звање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секој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наставник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соработник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објавен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Билтенот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7. </w:t>
      </w:r>
      <w:proofErr w:type="spellStart"/>
      <w:r w:rsidRPr="00420166">
        <w:rPr>
          <w:rFonts w:ascii="StobiSerif Regular" w:eastAsia="Times New Roman" w:hAnsi="StobiSerif Regular"/>
        </w:rPr>
        <w:t>Распоредот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работни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задачи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тековната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учебна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година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најдоцна</w:t>
      </w:r>
      <w:proofErr w:type="spellEnd"/>
      <w:r w:rsidRPr="00420166">
        <w:rPr>
          <w:rFonts w:ascii="StobiSerif Regular" w:eastAsia="Times New Roman" w:hAnsi="StobiSerif Regular"/>
        </w:rPr>
        <w:t xml:space="preserve"> 10 </w:t>
      </w:r>
      <w:proofErr w:type="spellStart"/>
      <w:r w:rsidRPr="00420166">
        <w:rPr>
          <w:rFonts w:ascii="StobiSerif Regular" w:eastAsia="Times New Roman" w:hAnsi="StobiSerif Regular"/>
        </w:rPr>
        <w:t>дена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пред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почетокот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учебната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година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8. </w:t>
      </w:r>
      <w:proofErr w:type="spellStart"/>
      <w:r w:rsidRPr="00420166">
        <w:rPr>
          <w:rFonts w:ascii="StobiSerif Regular" w:eastAsia="Times New Roman" w:hAnsi="StobiSerif Regular"/>
        </w:rPr>
        <w:t>Завршна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сметка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најдоцна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рок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10 </w:t>
      </w:r>
      <w:proofErr w:type="spellStart"/>
      <w:r w:rsidRPr="00420166">
        <w:rPr>
          <w:rFonts w:ascii="StobiSerif Regular" w:eastAsia="Times New Roman" w:hAnsi="StobiSerif Regular"/>
        </w:rPr>
        <w:t>дена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денот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усвојувањето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9. </w:t>
      </w:r>
      <w:proofErr w:type="spellStart"/>
      <w:r w:rsidRPr="00420166">
        <w:rPr>
          <w:rFonts w:ascii="StobiSerif Regular" w:eastAsia="Times New Roman" w:hAnsi="StobiSerif Regular"/>
        </w:rPr>
        <w:t>Годишен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извештај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најдоцна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рок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10 </w:t>
      </w:r>
      <w:proofErr w:type="spellStart"/>
      <w:r w:rsidRPr="00420166">
        <w:rPr>
          <w:rFonts w:ascii="StobiSerif Regular" w:eastAsia="Times New Roman" w:hAnsi="StobiSerif Regular"/>
        </w:rPr>
        <w:t>дена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денот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усвојувањето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10. </w:t>
      </w:r>
      <w:proofErr w:type="spellStart"/>
      <w:r w:rsidRPr="00420166">
        <w:rPr>
          <w:rFonts w:ascii="StobiSerif Regular" w:eastAsia="Times New Roman" w:hAnsi="StobiSerif Regular"/>
        </w:rPr>
        <w:t>Прифатени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теми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изработка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магистерски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трудови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најдоцна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рок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10 </w:t>
      </w:r>
      <w:proofErr w:type="spellStart"/>
      <w:r w:rsidRPr="00420166">
        <w:rPr>
          <w:rFonts w:ascii="StobiSerif Regular" w:eastAsia="Times New Roman" w:hAnsi="StobiSerif Regular"/>
        </w:rPr>
        <w:t>дена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денот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прифаќањето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11. </w:t>
      </w:r>
      <w:proofErr w:type="spellStart"/>
      <w:r w:rsidRPr="00420166">
        <w:rPr>
          <w:rFonts w:ascii="StobiSerif Regular" w:eastAsia="Times New Roman" w:hAnsi="StobiSerif Regular"/>
        </w:rPr>
        <w:t>Прифатени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теми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изработка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докторски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трудови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најдоцна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рок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10 </w:t>
      </w:r>
      <w:proofErr w:type="spellStart"/>
      <w:r w:rsidRPr="00420166">
        <w:rPr>
          <w:rFonts w:ascii="StobiSerif Regular" w:eastAsia="Times New Roman" w:hAnsi="StobiSerif Regular"/>
        </w:rPr>
        <w:t>дена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денот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прифаќањето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r w:rsidRPr="00420166">
        <w:rPr>
          <w:rFonts w:ascii="StobiSerif Regular" w:eastAsia="Times New Roman" w:hAnsi="StobiSerif Regular"/>
        </w:rPr>
        <w:br/>
        <w:t xml:space="preserve">12. </w:t>
      </w:r>
      <w:proofErr w:type="spellStart"/>
      <w:r w:rsidRPr="00420166">
        <w:rPr>
          <w:rFonts w:ascii="StobiSerif Regular" w:eastAsia="Times New Roman" w:hAnsi="StobiSerif Regular"/>
        </w:rPr>
        <w:t>Акти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ги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носи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единицата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согласно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други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закони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r w:rsidRPr="00420166">
        <w:rPr>
          <w:rFonts w:ascii="StobiSerif Regular" w:eastAsia="Times New Roman" w:hAnsi="StobiSerif Regular"/>
        </w:rPr>
        <w:br/>
        <w:t xml:space="preserve">13. </w:t>
      </w:r>
      <w:proofErr w:type="spellStart"/>
      <w:r w:rsidRPr="00420166">
        <w:rPr>
          <w:rFonts w:ascii="StobiSerif Regular" w:eastAsia="Times New Roman" w:hAnsi="StobiSerif Regular"/>
        </w:rPr>
        <w:t>Етичкиот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кодекс</w:t>
      </w:r>
      <w:proofErr w:type="spellEnd"/>
      <w:r w:rsidRPr="00420166">
        <w:rPr>
          <w:rFonts w:ascii="StobiSerif Regular" w:eastAsia="Times New Roman" w:hAnsi="StobiSerif Regular"/>
        </w:rPr>
        <w:t xml:space="preserve">. </w:t>
      </w:r>
    </w:p>
    <w:p w:rsidR="003B354C" w:rsidRPr="00420166" w:rsidRDefault="003B354C" w:rsidP="003B354C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/>
        </w:rPr>
      </w:pPr>
      <w:r w:rsidRPr="00420166">
        <w:rPr>
          <w:rFonts w:ascii="StobiSerif Regular" w:eastAsia="Times New Roman" w:hAnsi="StobiSerif Regular"/>
        </w:rPr>
        <w:t xml:space="preserve">(4) </w:t>
      </w:r>
      <w:proofErr w:type="spellStart"/>
      <w:r w:rsidRPr="00420166">
        <w:rPr>
          <w:rFonts w:ascii="StobiSerif Regular" w:eastAsia="Times New Roman" w:hAnsi="StobiSerif Regular"/>
        </w:rPr>
        <w:t>Самостојната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висока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стручна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школа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научниот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институт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кој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врши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високообразовна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дејност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својата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ги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објавува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актите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документите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известувањата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ставот</w:t>
      </w:r>
      <w:proofErr w:type="spellEnd"/>
      <w:r w:rsidRPr="00420166">
        <w:rPr>
          <w:rFonts w:ascii="StobiSerif Regular" w:eastAsia="Times New Roman" w:hAnsi="StobiSerif Regular"/>
        </w:rPr>
        <w:t xml:space="preserve"> (3)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овој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член</w:t>
      </w:r>
      <w:proofErr w:type="spellEnd"/>
      <w:r w:rsidRPr="00420166">
        <w:rPr>
          <w:rFonts w:ascii="StobiSerif Regular" w:eastAsia="Times New Roman" w:hAnsi="StobiSerif Regular"/>
        </w:rPr>
        <w:t>.</w:t>
      </w:r>
    </w:p>
    <w:p w:rsidR="00727679" w:rsidRPr="00420166" w:rsidRDefault="00727679" w:rsidP="00727679">
      <w:pPr>
        <w:spacing w:before="100" w:beforeAutospacing="1" w:after="100" w:afterAutospacing="1" w:line="240" w:lineRule="auto"/>
        <w:outlineLvl w:val="3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Самоевалуација</w:t>
      </w:r>
      <w:proofErr w:type="spellEnd"/>
    </w:p>
    <w:p w:rsidR="00727679" w:rsidRPr="00420166" w:rsidRDefault="00727679" w:rsidP="00727679">
      <w:pPr>
        <w:spacing w:before="100" w:beforeAutospacing="1" w:after="100" w:afterAutospacing="1" w:line="240" w:lineRule="auto"/>
        <w:outlineLvl w:val="4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Член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55</w:t>
      </w:r>
    </w:p>
    <w:p w:rsidR="00727679" w:rsidRPr="00420166" w:rsidRDefault="00727679" w:rsidP="00727679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/>
        </w:rPr>
      </w:pPr>
      <w:r w:rsidRPr="00420166">
        <w:rPr>
          <w:rFonts w:ascii="StobiSerif Regular" w:eastAsia="Times New Roman" w:hAnsi="StobiSerif Regular"/>
        </w:rPr>
        <w:t xml:space="preserve">(6) </w:t>
      </w:r>
      <w:proofErr w:type="spellStart"/>
      <w:r w:rsidRPr="00420166">
        <w:rPr>
          <w:rFonts w:ascii="StobiSerif Regular" w:eastAsia="Times New Roman" w:hAnsi="StobiSerif Regular"/>
        </w:rPr>
        <w:t>Резултатите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самоевалуацијата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објавуваат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страницата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универзитетот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страницата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секоја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единица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универзитетот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одделно</w:t>
      </w:r>
      <w:proofErr w:type="spellEnd"/>
      <w:r w:rsidRPr="00420166">
        <w:rPr>
          <w:rFonts w:ascii="StobiSerif Regular" w:eastAsia="Times New Roman" w:hAnsi="StobiSerif Regular"/>
        </w:rPr>
        <w:t xml:space="preserve"> (</w:t>
      </w:r>
      <w:proofErr w:type="spellStart"/>
      <w:r w:rsidRPr="00420166">
        <w:rPr>
          <w:rFonts w:ascii="StobiSerif Regular" w:eastAsia="Times New Roman" w:hAnsi="StobiSerif Regular"/>
        </w:rPr>
        <w:t>факултет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висока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стручна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школа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или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научен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институт</w:t>
      </w:r>
      <w:proofErr w:type="spellEnd"/>
      <w:r w:rsidRPr="00420166">
        <w:rPr>
          <w:rFonts w:ascii="StobiSerif Regular" w:eastAsia="Times New Roman" w:hAnsi="StobiSerif Regular"/>
        </w:rPr>
        <w:t xml:space="preserve">), </w:t>
      </w:r>
      <w:proofErr w:type="spellStart"/>
      <w:r w:rsidRPr="00420166">
        <w:rPr>
          <w:rFonts w:ascii="StobiSerif Regular" w:eastAsia="Times New Roman" w:hAnsi="StobiSerif Regular"/>
        </w:rPr>
        <w:t>односно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страницата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самостојната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висока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стручна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школа</w:t>
      </w:r>
      <w:proofErr w:type="spellEnd"/>
      <w:r w:rsidRPr="00420166">
        <w:rPr>
          <w:rFonts w:ascii="StobiSerif Regular" w:eastAsia="Times New Roman" w:hAnsi="StobiSerif Regular"/>
        </w:rPr>
        <w:t>.</w:t>
      </w:r>
    </w:p>
    <w:p w:rsidR="00727679" w:rsidRPr="00420166" w:rsidRDefault="00727679" w:rsidP="00727679">
      <w:pPr>
        <w:spacing w:before="100" w:beforeAutospacing="1" w:after="100" w:afterAutospacing="1" w:line="240" w:lineRule="auto"/>
        <w:outlineLvl w:val="3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Трет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циклус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на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академски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студии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-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докторски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студии</w:t>
      </w:r>
      <w:proofErr w:type="spellEnd"/>
    </w:p>
    <w:p w:rsidR="00727679" w:rsidRPr="00420166" w:rsidRDefault="00727679" w:rsidP="00727679">
      <w:pPr>
        <w:spacing w:before="100" w:beforeAutospacing="1" w:after="100" w:afterAutospacing="1" w:line="240" w:lineRule="auto"/>
        <w:outlineLvl w:val="4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Член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136</w:t>
      </w:r>
    </w:p>
    <w:p w:rsidR="00727679" w:rsidRPr="00420166" w:rsidRDefault="00727679" w:rsidP="00727679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/>
        </w:rPr>
      </w:pPr>
      <w:r w:rsidRPr="00420166">
        <w:rPr>
          <w:rFonts w:ascii="StobiSerif Regular" w:eastAsia="Times New Roman" w:hAnsi="StobiSerif Regular"/>
        </w:rPr>
        <w:t xml:space="preserve">(14) </w:t>
      </w:r>
      <w:proofErr w:type="spellStart"/>
      <w:r w:rsidRPr="00420166">
        <w:rPr>
          <w:rFonts w:ascii="StobiSerif Regular" w:eastAsia="Times New Roman" w:hAnsi="StobiSerif Regular"/>
        </w:rPr>
        <w:t>Пред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одбрана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докторската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дисертација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истата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задолжително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објавува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високообразовната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установа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изведува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третиот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циклус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студии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како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базата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отворени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образовни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научни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ресурси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води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министерството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надлежно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високото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образование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која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мора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биде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јавно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достапна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интернет</w:t>
      </w:r>
      <w:proofErr w:type="spellEnd"/>
      <w:r w:rsidRPr="00420166">
        <w:rPr>
          <w:rFonts w:ascii="StobiSerif Regular" w:eastAsia="Times New Roman" w:hAnsi="StobiSerif Regular"/>
        </w:rPr>
        <w:t>.</w:t>
      </w:r>
    </w:p>
    <w:p w:rsidR="000D3B05" w:rsidRDefault="000D3B05"/>
    <w:p w:rsidR="003B354C" w:rsidRPr="00420166" w:rsidRDefault="003B354C" w:rsidP="003B354C">
      <w:pPr>
        <w:spacing w:before="100" w:beforeAutospacing="1" w:after="100" w:afterAutospacing="1" w:line="240" w:lineRule="auto"/>
        <w:outlineLvl w:val="3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lastRenderedPageBreak/>
        <w:t>Орган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што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ги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донесува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студиските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програми</w:t>
      </w:r>
      <w:proofErr w:type="spellEnd"/>
    </w:p>
    <w:p w:rsidR="003B354C" w:rsidRPr="00420166" w:rsidRDefault="003B354C" w:rsidP="003B354C">
      <w:pPr>
        <w:spacing w:before="100" w:beforeAutospacing="1" w:after="100" w:afterAutospacing="1" w:line="240" w:lineRule="auto"/>
        <w:outlineLvl w:val="4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Член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145</w:t>
      </w:r>
    </w:p>
    <w:p w:rsidR="003B354C" w:rsidRPr="00420166" w:rsidRDefault="003B354C" w:rsidP="003B354C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/>
        </w:rPr>
      </w:pPr>
      <w:r w:rsidRPr="00420166">
        <w:rPr>
          <w:rFonts w:ascii="StobiSerif Regular" w:eastAsia="Times New Roman" w:hAnsi="StobiSerif Regular"/>
        </w:rPr>
        <w:t xml:space="preserve">(9) </w:t>
      </w:r>
      <w:proofErr w:type="spellStart"/>
      <w:r w:rsidRPr="00420166">
        <w:rPr>
          <w:rFonts w:ascii="StobiSerif Regular" w:eastAsia="Times New Roman" w:hAnsi="StobiSerif Regular"/>
        </w:rPr>
        <w:t>Единицата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универзитетот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научниот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институт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или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самостојната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високообразовна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установа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задолжително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ги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објавува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јавно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студиските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програми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решението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почеток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работа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студиската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програма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својата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страна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друг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начин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најдоцна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објавувањето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конкурсот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за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упис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студенти</w:t>
      </w:r>
      <w:proofErr w:type="spellEnd"/>
      <w:r w:rsidRPr="00420166">
        <w:rPr>
          <w:rFonts w:ascii="StobiSerif Regular" w:eastAsia="Times New Roman" w:hAnsi="StobiSerif Regular"/>
        </w:rPr>
        <w:t>.</w:t>
      </w:r>
    </w:p>
    <w:p w:rsidR="00727679" w:rsidRPr="00420166" w:rsidRDefault="00727679" w:rsidP="00727679">
      <w:pPr>
        <w:spacing w:before="100" w:beforeAutospacing="1" w:after="100" w:afterAutospacing="1" w:line="240" w:lineRule="auto"/>
        <w:jc w:val="both"/>
        <w:outlineLvl w:val="3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Постапка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за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  <w:b/>
          <w:bCs/>
        </w:rPr>
        <w:t>избор</w:t>
      </w:r>
      <w:proofErr w:type="spellEnd"/>
    </w:p>
    <w:p w:rsidR="00727679" w:rsidRPr="00420166" w:rsidRDefault="00727679" w:rsidP="00727679">
      <w:pPr>
        <w:spacing w:before="100" w:beforeAutospacing="1" w:after="100" w:afterAutospacing="1" w:line="240" w:lineRule="auto"/>
        <w:jc w:val="both"/>
        <w:outlineLvl w:val="4"/>
        <w:rPr>
          <w:rFonts w:ascii="StobiSerif Regular" w:eastAsia="Times New Roman" w:hAnsi="StobiSerif Regular"/>
          <w:b/>
          <w:bCs/>
        </w:rPr>
      </w:pPr>
      <w:proofErr w:type="spellStart"/>
      <w:r w:rsidRPr="00420166">
        <w:rPr>
          <w:rFonts w:ascii="StobiSerif Regular" w:eastAsia="Times New Roman" w:hAnsi="StobiSerif Regular"/>
          <w:b/>
          <w:bCs/>
        </w:rPr>
        <w:t>Член</w:t>
      </w:r>
      <w:proofErr w:type="spellEnd"/>
      <w:r w:rsidRPr="00420166">
        <w:rPr>
          <w:rFonts w:ascii="StobiSerif Regular" w:eastAsia="Times New Roman" w:hAnsi="StobiSerif Regular"/>
          <w:b/>
          <w:bCs/>
        </w:rPr>
        <w:t xml:space="preserve"> 173</w:t>
      </w:r>
    </w:p>
    <w:p w:rsidR="00727679" w:rsidRPr="00420166" w:rsidRDefault="00727679" w:rsidP="00727679">
      <w:pPr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/>
        </w:rPr>
      </w:pPr>
      <w:r w:rsidRPr="00420166">
        <w:rPr>
          <w:rFonts w:ascii="StobiSerif Regular" w:eastAsia="Times New Roman" w:hAnsi="StobiSerif Regular"/>
        </w:rPr>
        <w:t xml:space="preserve">(9) </w:t>
      </w:r>
      <w:proofErr w:type="spellStart"/>
      <w:r w:rsidRPr="00420166">
        <w:rPr>
          <w:rFonts w:ascii="StobiSerif Regular" w:eastAsia="Times New Roman" w:hAnsi="StobiSerif Regular"/>
        </w:rPr>
        <w:t>Високообразовната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установа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го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објавува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рефератот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рецензионата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комисија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ставот</w:t>
      </w:r>
      <w:proofErr w:type="spellEnd"/>
      <w:r w:rsidRPr="00420166">
        <w:rPr>
          <w:rFonts w:ascii="StobiSerif Regular" w:eastAsia="Times New Roman" w:hAnsi="StobiSerif Regular"/>
        </w:rPr>
        <w:t xml:space="preserve"> (8)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овој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член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соодветниот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билтен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универзитетот</w:t>
      </w:r>
      <w:proofErr w:type="spellEnd"/>
      <w:r w:rsidRPr="00420166">
        <w:rPr>
          <w:rFonts w:ascii="StobiSerif Regular" w:eastAsia="Times New Roman" w:hAnsi="StobiSerif Regular"/>
        </w:rPr>
        <w:t xml:space="preserve"> и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веб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страницата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универзитетот</w:t>
      </w:r>
      <w:proofErr w:type="spellEnd"/>
      <w:r w:rsidRPr="00420166">
        <w:rPr>
          <w:rFonts w:ascii="StobiSerif Regular" w:eastAsia="Times New Roman" w:hAnsi="StobiSerif Regular"/>
        </w:rPr>
        <w:t xml:space="preserve">, </w:t>
      </w:r>
      <w:proofErr w:type="spellStart"/>
      <w:r w:rsidRPr="00420166">
        <w:rPr>
          <w:rFonts w:ascii="StobiSerif Regular" w:eastAsia="Times New Roman" w:hAnsi="StobiSerif Regular"/>
        </w:rPr>
        <w:t>односно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самостојната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висока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стручна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школа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најмалку</w:t>
      </w:r>
      <w:proofErr w:type="spellEnd"/>
      <w:r w:rsidRPr="00420166">
        <w:rPr>
          <w:rFonts w:ascii="StobiSerif Regular" w:eastAsia="Times New Roman" w:hAnsi="StobiSerif Regular"/>
        </w:rPr>
        <w:t xml:space="preserve"> 15 </w:t>
      </w:r>
      <w:proofErr w:type="spellStart"/>
      <w:r w:rsidRPr="00420166">
        <w:rPr>
          <w:rFonts w:ascii="StobiSerif Regular" w:eastAsia="Times New Roman" w:hAnsi="StobiSerif Regular"/>
        </w:rPr>
        <w:t>дена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пред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денот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на</w:t>
      </w:r>
      <w:proofErr w:type="spellEnd"/>
      <w:r w:rsidRPr="00420166">
        <w:rPr>
          <w:rFonts w:ascii="StobiSerif Regular" w:eastAsia="Times New Roman" w:hAnsi="StobiSerif Regular"/>
        </w:rPr>
        <w:t xml:space="preserve"> </w:t>
      </w:r>
      <w:proofErr w:type="spellStart"/>
      <w:r w:rsidRPr="00420166">
        <w:rPr>
          <w:rFonts w:ascii="StobiSerif Regular" w:eastAsia="Times New Roman" w:hAnsi="StobiSerif Regular"/>
        </w:rPr>
        <w:t>изборот</w:t>
      </w:r>
      <w:proofErr w:type="spellEnd"/>
      <w:r w:rsidRPr="00420166">
        <w:rPr>
          <w:rFonts w:ascii="StobiSerif Regular" w:eastAsia="Times New Roman" w:hAnsi="StobiSerif Regular"/>
        </w:rPr>
        <w:t>.</w:t>
      </w:r>
    </w:p>
    <w:p w:rsidR="00EE3518" w:rsidRDefault="00EE3518" w:rsidP="00EE3518"/>
    <w:sectPr w:rsidR="00EE35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altName w:val="Times New Roman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5B93"/>
    <w:multiLevelType w:val="hybridMultilevel"/>
    <w:tmpl w:val="BD028208"/>
    <w:lvl w:ilvl="0" w:tplc="D71E4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4C"/>
    <w:rsid w:val="000D3B05"/>
    <w:rsid w:val="003B354C"/>
    <w:rsid w:val="00727679"/>
    <w:rsid w:val="00EE3518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7353"/>
  <w15:chartTrackingRefBased/>
  <w15:docId w15:val="{4D748932-4FD8-4715-A3EA-A6327D54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Stojcevska</dc:creator>
  <cp:keywords/>
  <dc:description/>
  <cp:lastModifiedBy>Biljana Stojcevska</cp:lastModifiedBy>
  <cp:revision>1</cp:revision>
  <dcterms:created xsi:type="dcterms:W3CDTF">2024-04-24T11:14:00Z</dcterms:created>
  <dcterms:modified xsi:type="dcterms:W3CDTF">2024-04-24T11:46:00Z</dcterms:modified>
</cp:coreProperties>
</file>